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mithellemGitternetz"/>
        <w:tblW w:w="0" w:type="auto"/>
        <w:tblLook w:val="04A0" w:firstRow="1" w:lastRow="0" w:firstColumn="1" w:lastColumn="0" w:noHBand="0" w:noVBand="1"/>
      </w:tblPr>
      <w:tblGrid>
        <w:gridCol w:w="2263"/>
        <w:gridCol w:w="14034"/>
        <w:gridCol w:w="4624"/>
      </w:tblGrid>
      <w:tr w:rsidR="00884499" w:rsidRPr="0050600D" w14:paraId="46CE3824" w14:textId="77777777" w:rsidTr="00AD65A5">
        <w:tc>
          <w:tcPr>
            <w:tcW w:w="2263" w:type="dxa"/>
          </w:tcPr>
          <w:p w14:paraId="4FA55632" w14:textId="522DA7B4" w:rsidR="00884499" w:rsidRDefault="00884499">
            <w:pPr>
              <w:rPr>
                <w:b/>
                <w:bCs/>
                <w:sz w:val="96"/>
                <w:szCs w:val="96"/>
              </w:rPr>
            </w:pPr>
            <w:r>
              <w:rPr>
                <w:b/>
                <w:bCs/>
                <w:sz w:val="96"/>
                <w:szCs w:val="96"/>
              </w:rPr>
              <w:t>DD</w:t>
            </w:r>
            <w:r w:rsidR="0050600D">
              <w:rPr>
                <w:b/>
                <w:bCs/>
                <w:sz w:val="96"/>
                <w:szCs w:val="96"/>
              </w:rPr>
              <w:t>1</w:t>
            </w:r>
          </w:p>
        </w:tc>
        <w:tc>
          <w:tcPr>
            <w:tcW w:w="14034" w:type="dxa"/>
          </w:tcPr>
          <w:p w14:paraId="14E8AF08" w14:textId="1FE8C3F1" w:rsidR="00884499" w:rsidRPr="00B0271E" w:rsidRDefault="00B0271E">
            <w:pPr>
              <w:rPr>
                <w:b/>
                <w:bCs/>
                <w:sz w:val="96"/>
                <w:szCs w:val="96"/>
                <w:lang w:val="en-US"/>
              </w:rPr>
            </w:pPr>
            <w:r w:rsidRPr="00B0271E">
              <w:rPr>
                <w:b/>
                <w:bCs/>
                <w:sz w:val="96"/>
                <w:szCs w:val="96"/>
                <w:lang w:val="en-US"/>
              </w:rPr>
              <w:t xml:space="preserve">ISAT (IPM Self-Assessment </w:t>
            </w:r>
            <w:r>
              <w:rPr>
                <w:b/>
                <w:bCs/>
                <w:sz w:val="96"/>
                <w:szCs w:val="96"/>
                <w:lang w:val="en-US"/>
              </w:rPr>
              <w:t>Tool)</w:t>
            </w:r>
          </w:p>
        </w:tc>
        <w:tc>
          <w:tcPr>
            <w:tcW w:w="4624" w:type="dxa"/>
          </w:tcPr>
          <w:p w14:paraId="3D8F8AD7" w14:textId="1A601010" w:rsidR="00884499" w:rsidRPr="0050600D" w:rsidRDefault="00AD65A5" w:rsidP="0050600D">
            <w:pPr>
              <w:tabs>
                <w:tab w:val="left" w:pos="3965"/>
              </w:tabs>
              <w:rPr>
                <w:b/>
                <w:bCs/>
                <w:sz w:val="96"/>
                <w:szCs w:val="96"/>
                <w:lang w:val="en-US"/>
              </w:rPr>
            </w:pPr>
            <w:r>
              <w:rPr>
                <w:noProof/>
              </w:rPr>
              <w:drawing>
                <wp:inline distT="0" distB="0" distL="0" distR="0" wp14:anchorId="7254E850" wp14:editId="6C063677">
                  <wp:extent cx="2364827" cy="980018"/>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391002" cy="990865"/>
                          </a:xfrm>
                          <a:prstGeom prst="rect">
                            <a:avLst/>
                          </a:prstGeom>
                        </pic:spPr>
                      </pic:pic>
                    </a:graphicData>
                  </a:graphic>
                </wp:inline>
              </w:drawing>
            </w:r>
            <w:r w:rsidR="0050600D" w:rsidRPr="0050600D">
              <w:rPr>
                <w:b/>
                <w:bCs/>
                <w:sz w:val="96"/>
                <w:szCs w:val="96"/>
                <w:lang w:val="en-US"/>
              </w:rPr>
              <w:tab/>
            </w:r>
          </w:p>
        </w:tc>
      </w:tr>
    </w:tbl>
    <w:p w14:paraId="38B7FDF8" w14:textId="7D11E969" w:rsidR="00675B3A" w:rsidRDefault="00675B3A" w:rsidP="00A0542A">
      <w:pPr>
        <w:spacing w:before="240"/>
        <w:jc w:val="both"/>
        <w:rPr>
          <w:b/>
          <w:bCs/>
          <w:sz w:val="52"/>
          <w:szCs w:val="52"/>
          <w:lang w:val="en-US"/>
        </w:rPr>
      </w:pPr>
      <w:r w:rsidRPr="00675B3A">
        <w:rPr>
          <w:i/>
          <w:iCs/>
          <w:sz w:val="28"/>
          <w:szCs w:val="28"/>
          <w:lang w:val="en-US"/>
        </w:rPr>
        <w:t>(One-sentence  “what”)</w:t>
      </w:r>
      <w:r>
        <w:rPr>
          <w:i/>
          <w:iCs/>
          <w:sz w:val="28"/>
          <w:szCs w:val="28"/>
          <w:lang w:val="en-US"/>
        </w:rPr>
        <w:t xml:space="preserve">: </w:t>
      </w:r>
      <w:r w:rsidR="00B0271E">
        <w:rPr>
          <w:b/>
          <w:bCs/>
          <w:sz w:val="52"/>
          <w:szCs w:val="52"/>
          <w:lang w:val="en-US"/>
        </w:rPr>
        <w:t>I</w:t>
      </w:r>
      <w:r w:rsidR="00B0271E" w:rsidRPr="00B0271E">
        <w:rPr>
          <w:b/>
          <w:bCs/>
          <w:sz w:val="52"/>
          <w:szCs w:val="52"/>
          <w:lang w:val="en-US"/>
        </w:rPr>
        <w:t xml:space="preserve">SAT helps farmers, advisors, and researchers compare different crop protection strategies (e.g., conventional vs. IPM-based) side by side, so they can see the trade-offs between pesticide risk, </w:t>
      </w:r>
      <w:r w:rsidR="00B0271E">
        <w:rPr>
          <w:b/>
          <w:bCs/>
          <w:sz w:val="52"/>
          <w:szCs w:val="52"/>
          <w:lang w:val="en-US"/>
        </w:rPr>
        <w:t xml:space="preserve">GHG </w:t>
      </w:r>
      <w:r w:rsidR="00B0271E" w:rsidRPr="00B0271E">
        <w:rPr>
          <w:b/>
          <w:bCs/>
          <w:sz w:val="52"/>
          <w:szCs w:val="52"/>
          <w:lang w:val="en-US"/>
        </w:rPr>
        <w:t>emissions, and cost before deciding how to manage a field.</w:t>
      </w:r>
    </w:p>
    <w:p w14:paraId="306A0B00" w14:textId="72A6D088" w:rsidR="00675B3A" w:rsidRDefault="0080458D" w:rsidP="00A0542A">
      <w:pPr>
        <w:jc w:val="both"/>
        <w:rPr>
          <w:b/>
          <w:bCs/>
          <w:sz w:val="44"/>
          <w:szCs w:val="44"/>
          <w:lang w:val="en-US"/>
        </w:rPr>
      </w:pPr>
      <w:r>
        <w:rPr>
          <w:i/>
          <w:iCs/>
          <w:sz w:val="28"/>
          <w:szCs w:val="28"/>
          <w:lang w:val="en-US"/>
        </w:rPr>
        <w:t>Describe in more detail (3-5 sentences)</w:t>
      </w:r>
      <w:r w:rsidR="00CF7AC7">
        <w:rPr>
          <w:i/>
          <w:iCs/>
          <w:sz w:val="28"/>
          <w:szCs w:val="28"/>
          <w:lang w:val="en-US"/>
        </w:rPr>
        <w:t xml:space="preserve"> </w:t>
      </w:r>
      <w:r w:rsidR="00B0271E" w:rsidRPr="00B0271E">
        <w:rPr>
          <w:b/>
          <w:bCs/>
          <w:sz w:val="44"/>
          <w:szCs w:val="44"/>
          <w:lang w:val="en-US"/>
        </w:rPr>
        <w:t xml:space="preserve">ISAT is a free, web-based tool where you build a crop management scenario step by step  entering every field operation across the season along with the machinery, inputs, and pesticide products used. Once a scenario is entered, ISAT automatically calculates a set of indicators for it: pesticide risk (across environmental, ecotoxicological, and human-health hazards), total </w:t>
      </w:r>
      <w:r w:rsidR="00B0271E">
        <w:rPr>
          <w:b/>
          <w:bCs/>
          <w:sz w:val="44"/>
          <w:szCs w:val="44"/>
          <w:lang w:val="en-US"/>
        </w:rPr>
        <w:t xml:space="preserve">GHG </w:t>
      </w:r>
      <w:r w:rsidR="00B0271E" w:rsidRPr="00B0271E">
        <w:rPr>
          <w:b/>
          <w:bCs/>
          <w:sz w:val="44"/>
          <w:szCs w:val="44"/>
          <w:lang w:val="en-US"/>
        </w:rPr>
        <w:t xml:space="preserve">emissions, and production costs. You can build multiple scenarios for the same field  and </w:t>
      </w:r>
      <w:r w:rsidR="00A0542A">
        <w:rPr>
          <w:b/>
          <w:bCs/>
          <w:sz w:val="44"/>
          <w:szCs w:val="44"/>
          <w:lang w:val="en-US"/>
        </w:rPr>
        <w:t xml:space="preserve">the tool </w:t>
      </w:r>
      <w:r w:rsidR="00B0271E" w:rsidRPr="00B0271E">
        <w:rPr>
          <w:b/>
          <w:bCs/>
          <w:sz w:val="44"/>
          <w:szCs w:val="44"/>
          <w:lang w:val="en-US"/>
        </w:rPr>
        <w:t xml:space="preserve">lays the results out in tables and charts so you can directly </w:t>
      </w:r>
      <w:r w:rsidR="00A0542A">
        <w:rPr>
          <w:b/>
          <w:bCs/>
          <w:sz w:val="44"/>
          <w:szCs w:val="44"/>
          <w:lang w:val="en-US"/>
        </w:rPr>
        <w:t>compare them and evaluate</w:t>
      </w:r>
      <w:r w:rsidR="00B0271E" w:rsidRPr="00B0271E">
        <w:rPr>
          <w:b/>
          <w:bCs/>
          <w:sz w:val="44"/>
          <w:szCs w:val="44"/>
          <w:lang w:val="en-US"/>
        </w:rPr>
        <w:t xml:space="preserve"> trade-offs. At the station, visitors could enter a simple scenario themselves and watch how swapping one input or practice shifts the risk, emissions, and cost</w:t>
      </w:r>
      <w:r w:rsidR="00A0542A">
        <w:rPr>
          <w:b/>
          <w:bCs/>
          <w:sz w:val="44"/>
          <w:szCs w:val="44"/>
          <w:lang w:val="en-US"/>
        </w:rPr>
        <w:t xml:space="preserve">s </w:t>
      </w:r>
      <w:r w:rsidR="00B0271E" w:rsidRPr="00B0271E">
        <w:rPr>
          <w:b/>
          <w:bCs/>
          <w:sz w:val="44"/>
          <w:szCs w:val="44"/>
          <w:lang w:val="en-US"/>
        </w:rPr>
        <w:t>in real time.</w:t>
      </w:r>
    </w:p>
    <w:p w14:paraId="5E8506C0" w14:textId="66D9CB26" w:rsidR="00884499" w:rsidRPr="00884499" w:rsidRDefault="00884499">
      <w:pPr>
        <w:rPr>
          <w:b/>
          <w:bCs/>
          <w:sz w:val="44"/>
          <w:szCs w:val="44"/>
          <w:lang w:val="en-US"/>
        </w:rPr>
      </w:pPr>
      <w:r>
        <w:rPr>
          <w:b/>
          <w:bCs/>
          <w:sz w:val="44"/>
          <w:szCs w:val="44"/>
          <w:lang w:val="en-US"/>
        </w:rPr>
        <w:t>…</w:t>
      </w:r>
    </w:p>
    <w:tbl>
      <w:tblPr>
        <w:tblStyle w:val="Tabellenraster"/>
        <w:tblW w:w="0" w:type="auto"/>
        <w:tblLook w:val="04A0" w:firstRow="1" w:lastRow="0" w:firstColumn="1" w:lastColumn="0" w:noHBand="0" w:noVBand="1"/>
      </w:tblPr>
      <w:tblGrid>
        <w:gridCol w:w="10460"/>
        <w:gridCol w:w="10461"/>
      </w:tblGrid>
      <w:tr w:rsidR="00675B3A" w:rsidRPr="006F1D57" w14:paraId="1E6D11CE" w14:textId="77777777" w:rsidTr="00675B3A">
        <w:tc>
          <w:tcPr>
            <w:tcW w:w="10460" w:type="dxa"/>
          </w:tcPr>
          <w:p w14:paraId="4995EB14" w14:textId="77777777" w:rsidR="00675B3A" w:rsidRPr="00AD65A5" w:rsidRDefault="00675B3A" w:rsidP="00675B3A">
            <w:pPr>
              <w:rPr>
                <w:b/>
                <w:bCs/>
                <w:sz w:val="32"/>
                <w:szCs w:val="32"/>
                <w:lang w:val="en-US"/>
              </w:rPr>
            </w:pPr>
            <w:r w:rsidRPr="00AD65A5">
              <w:rPr>
                <w:b/>
                <w:bCs/>
                <w:sz w:val="32"/>
                <w:szCs w:val="32"/>
                <w:lang w:val="en-US"/>
              </w:rPr>
              <w:t>Where is the tool seated?</w:t>
            </w:r>
          </w:p>
          <w:p w14:paraId="17683D94" w14:textId="77777777" w:rsidR="00675B3A" w:rsidRPr="00AD65A5" w:rsidRDefault="00675B3A" w:rsidP="00675B3A">
            <w:pPr>
              <w:rPr>
                <w:b/>
                <w:bCs/>
                <w:sz w:val="32"/>
                <w:szCs w:val="32"/>
                <w:lang w:val="en-US"/>
              </w:rPr>
            </w:pPr>
            <w:r w:rsidRPr="00AD65A5">
              <w:rPr>
                <w:rFonts w:ascii="Segoe UI Symbol" w:hAnsi="Segoe UI Symbol" w:cs="Segoe UI Symbol"/>
                <w:b/>
                <w:bCs/>
                <w:sz w:val="32"/>
                <w:szCs w:val="32"/>
                <w:lang w:val="en-US"/>
              </w:rPr>
              <w:t>☐</w:t>
            </w:r>
            <w:r w:rsidRPr="00AD65A5">
              <w:rPr>
                <w:b/>
                <w:bCs/>
                <w:sz w:val="32"/>
                <w:szCs w:val="32"/>
                <w:lang w:val="en-US"/>
              </w:rPr>
              <w:t xml:space="preserve"> Data (new/improved inventory data)</w:t>
            </w:r>
          </w:p>
          <w:p w14:paraId="150F0C0B" w14:textId="4CC03EEB" w:rsidR="00675B3A" w:rsidRPr="00AD65A5" w:rsidRDefault="006F1D57" w:rsidP="00675B3A">
            <w:pPr>
              <w:rPr>
                <w:b/>
                <w:bCs/>
                <w:sz w:val="32"/>
                <w:szCs w:val="32"/>
                <w:lang w:val="en-US"/>
              </w:rPr>
            </w:pPr>
            <w:r w:rsidRPr="00AD65A5">
              <w:rPr>
                <w:rFonts w:ascii="Segoe UI Symbol" w:hAnsi="Segoe UI Symbol" w:cs="Segoe UI Symbol"/>
                <w:b/>
                <w:bCs/>
                <w:sz w:val="32"/>
                <w:szCs w:val="32"/>
                <w:lang w:val="en-US"/>
              </w:rPr>
              <w:sym w:font="Wingdings" w:char="F0FE"/>
            </w:r>
            <w:r w:rsidR="00675B3A" w:rsidRPr="00AD65A5">
              <w:rPr>
                <w:b/>
                <w:bCs/>
                <w:sz w:val="32"/>
                <w:szCs w:val="32"/>
                <w:lang w:val="en-US"/>
              </w:rPr>
              <w:t xml:space="preserve"> Model (new computational framework or coupling)</w:t>
            </w:r>
          </w:p>
          <w:p w14:paraId="7D4DBB17" w14:textId="77777777" w:rsidR="00675B3A" w:rsidRPr="00AD65A5" w:rsidRDefault="00675B3A" w:rsidP="00675B3A">
            <w:pPr>
              <w:rPr>
                <w:b/>
                <w:bCs/>
                <w:sz w:val="32"/>
                <w:szCs w:val="32"/>
                <w:lang w:val="en-US"/>
              </w:rPr>
            </w:pPr>
            <w:r w:rsidRPr="00AD65A5">
              <w:rPr>
                <w:rFonts w:ascii="Segoe UI Symbol" w:hAnsi="Segoe UI Symbol" w:cs="Segoe UI Symbol"/>
                <w:b/>
                <w:bCs/>
                <w:sz w:val="32"/>
                <w:szCs w:val="32"/>
                <w:lang w:val="en-US"/>
              </w:rPr>
              <w:t>☐</w:t>
            </w:r>
            <w:r w:rsidRPr="00AD65A5">
              <w:rPr>
                <w:b/>
                <w:bCs/>
                <w:sz w:val="32"/>
                <w:szCs w:val="32"/>
                <w:lang w:val="en-US"/>
              </w:rPr>
              <w:t xml:space="preserve"> AI usage (LLM / ML / agent in the workflow)</w:t>
            </w:r>
          </w:p>
          <w:p w14:paraId="2A0F4AEE" w14:textId="206D30AB" w:rsidR="00675B3A" w:rsidRPr="00AD65A5" w:rsidRDefault="006F1D57" w:rsidP="00675B3A">
            <w:pPr>
              <w:rPr>
                <w:b/>
                <w:bCs/>
                <w:sz w:val="32"/>
                <w:szCs w:val="32"/>
                <w:lang w:val="en-US"/>
              </w:rPr>
            </w:pPr>
            <w:r w:rsidRPr="00AD65A5">
              <w:rPr>
                <w:rFonts w:ascii="Segoe UI Symbol" w:hAnsi="Segoe UI Symbol" w:cs="Segoe UI Symbol"/>
                <w:b/>
                <w:bCs/>
                <w:sz w:val="32"/>
                <w:szCs w:val="32"/>
                <w:lang w:val="en-US"/>
              </w:rPr>
              <w:t>☐</w:t>
            </w:r>
            <w:r>
              <w:rPr>
                <w:rFonts w:ascii="Segoe UI Symbol" w:hAnsi="Segoe UI Symbol" w:cs="Segoe UI Symbol"/>
                <w:b/>
                <w:bCs/>
                <w:sz w:val="32"/>
                <w:szCs w:val="32"/>
                <w:lang w:val="en-US"/>
              </w:rPr>
              <w:t xml:space="preserve"> </w:t>
            </w:r>
            <w:r w:rsidR="00675B3A" w:rsidRPr="00AD65A5">
              <w:rPr>
                <w:b/>
                <w:bCs/>
                <w:sz w:val="32"/>
                <w:szCs w:val="32"/>
                <w:lang w:val="en-US"/>
              </w:rPr>
              <w:t>Linking systems (engineering ↔ LCA, ESM ↔ LCA, etc.)</w:t>
            </w:r>
          </w:p>
          <w:p w14:paraId="27BA63C1" w14:textId="77777777" w:rsidR="00675B3A" w:rsidRPr="00AD65A5" w:rsidRDefault="00675B3A" w:rsidP="00675B3A">
            <w:pPr>
              <w:rPr>
                <w:b/>
                <w:bCs/>
                <w:sz w:val="32"/>
                <w:szCs w:val="32"/>
                <w:lang w:val="en-US"/>
              </w:rPr>
            </w:pPr>
            <w:r w:rsidRPr="00AD65A5">
              <w:rPr>
                <w:rFonts w:ascii="Segoe UI Symbol" w:hAnsi="Segoe UI Symbol" w:cs="Segoe UI Symbol"/>
                <w:b/>
                <w:bCs/>
                <w:sz w:val="32"/>
                <w:szCs w:val="32"/>
                <w:lang w:val="en-US"/>
              </w:rPr>
              <w:t>☐</w:t>
            </w:r>
            <w:r w:rsidRPr="00AD65A5">
              <w:rPr>
                <w:b/>
                <w:bCs/>
                <w:sz w:val="32"/>
                <w:szCs w:val="32"/>
                <w:lang w:val="en-US"/>
              </w:rPr>
              <w:t xml:space="preserve"> Infrastructure / tooling (deployment, packaging, APIs)</w:t>
            </w:r>
          </w:p>
          <w:p w14:paraId="5810D18E" w14:textId="77777777" w:rsidR="00675B3A" w:rsidRPr="00AD65A5" w:rsidRDefault="00675B3A" w:rsidP="00675B3A">
            <w:pPr>
              <w:rPr>
                <w:b/>
                <w:bCs/>
                <w:sz w:val="32"/>
                <w:szCs w:val="32"/>
                <w:lang w:val="en-US"/>
              </w:rPr>
            </w:pPr>
          </w:p>
          <w:p w14:paraId="472CF617" w14:textId="5F8C6117" w:rsidR="00675B3A" w:rsidRPr="00884499" w:rsidRDefault="00675B3A" w:rsidP="00675B3A">
            <w:pPr>
              <w:rPr>
                <w:i/>
                <w:iCs/>
                <w:sz w:val="32"/>
                <w:szCs w:val="32"/>
                <w:lang w:val="en-US"/>
              </w:rPr>
            </w:pPr>
            <w:r w:rsidRPr="00AD65A5">
              <w:rPr>
                <w:b/>
                <w:bCs/>
                <w:sz w:val="32"/>
                <w:szCs w:val="32"/>
                <w:lang w:val="en-US"/>
              </w:rPr>
              <w:t xml:space="preserve">Where is it located in the Brightway/LCA ecosystem, if at all: </w:t>
            </w:r>
            <w:r w:rsidRPr="00AD65A5">
              <w:rPr>
                <w:i/>
                <w:iCs/>
                <w:sz w:val="32"/>
                <w:szCs w:val="32"/>
                <w:lang w:val="en-US"/>
              </w:rPr>
              <w:t>N</w:t>
            </w:r>
            <w:r w:rsidR="006F1D57" w:rsidRPr="006F1D57">
              <w:rPr>
                <w:i/>
                <w:iCs/>
                <w:sz w:val="32"/>
                <w:szCs w:val="32"/>
                <w:lang w:val="en-US"/>
              </w:rPr>
              <w:t>ot located in the Brightway/LCA ecosystem</w:t>
            </w:r>
            <w:r w:rsidR="006F1D57">
              <w:rPr>
                <w:i/>
                <w:iCs/>
                <w:sz w:val="32"/>
                <w:szCs w:val="32"/>
                <w:lang w:val="en-US"/>
              </w:rPr>
              <w:t>. F</w:t>
            </w:r>
            <w:r w:rsidR="006F1D57" w:rsidRPr="006F1D57">
              <w:rPr>
                <w:i/>
                <w:iCs/>
                <w:sz w:val="32"/>
                <w:szCs w:val="32"/>
                <w:lang w:val="en-US"/>
              </w:rPr>
              <w:t xml:space="preserve">or some </w:t>
            </w:r>
            <w:r w:rsidR="006F1D57" w:rsidRPr="006F1D57">
              <w:rPr>
                <w:i/>
                <w:iCs/>
                <w:sz w:val="32"/>
                <w:szCs w:val="32"/>
                <w:lang w:val="en-US"/>
              </w:rPr>
              <w:t>assessments</w:t>
            </w:r>
            <w:r w:rsidR="006F1D57" w:rsidRPr="006F1D57">
              <w:rPr>
                <w:i/>
                <w:iCs/>
                <w:sz w:val="32"/>
                <w:szCs w:val="32"/>
                <w:lang w:val="en-US"/>
              </w:rPr>
              <w:t xml:space="preserve"> e.g. </w:t>
            </w:r>
            <w:r w:rsidR="006F1D57">
              <w:rPr>
                <w:i/>
                <w:iCs/>
                <w:sz w:val="32"/>
                <w:szCs w:val="32"/>
                <w:lang w:val="en-US"/>
              </w:rPr>
              <w:t xml:space="preserve">GHG emissions of </w:t>
            </w:r>
            <w:r w:rsidR="006F1D57">
              <w:rPr>
                <w:i/>
                <w:iCs/>
                <w:sz w:val="32"/>
                <w:szCs w:val="32"/>
                <w:lang w:val="en-US"/>
              </w:rPr>
              <w:t xml:space="preserve">Pesticide products </w:t>
            </w:r>
            <w:r w:rsidR="006F1D57">
              <w:rPr>
                <w:i/>
                <w:iCs/>
                <w:sz w:val="32"/>
                <w:szCs w:val="32"/>
                <w:lang w:val="en-US"/>
              </w:rPr>
              <w:t xml:space="preserve">the tool </w:t>
            </w:r>
            <w:r w:rsidR="006F1D57" w:rsidRPr="006F1D57">
              <w:rPr>
                <w:i/>
                <w:iCs/>
                <w:sz w:val="32"/>
                <w:szCs w:val="32"/>
                <w:lang w:val="en-US"/>
              </w:rPr>
              <w:t>use</w:t>
            </w:r>
            <w:r w:rsidR="006F1D57">
              <w:rPr>
                <w:i/>
                <w:iCs/>
                <w:sz w:val="32"/>
                <w:szCs w:val="32"/>
                <w:lang w:val="en-US"/>
              </w:rPr>
              <w:t>s</w:t>
            </w:r>
            <w:r w:rsidR="006F1D57" w:rsidRPr="006F1D57">
              <w:rPr>
                <w:i/>
                <w:iCs/>
                <w:sz w:val="32"/>
                <w:szCs w:val="32"/>
                <w:lang w:val="en-US"/>
              </w:rPr>
              <w:t xml:space="preserve"> data from ecoinvent</w:t>
            </w:r>
          </w:p>
          <w:p w14:paraId="6F249908" w14:textId="77777777" w:rsidR="0080458D" w:rsidRPr="00884499" w:rsidRDefault="0080458D" w:rsidP="00675B3A">
            <w:pPr>
              <w:rPr>
                <w:b/>
                <w:bCs/>
                <w:sz w:val="32"/>
                <w:szCs w:val="32"/>
                <w:lang w:val="en-US"/>
              </w:rPr>
            </w:pPr>
          </w:p>
          <w:p w14:paraId="7DCEB7AB" w14:textId="77777777" w:rsidR="00675B3A" w:rsidRPr="00884499" w:rsidRDefault="00675B3A">
            <w:pPr>
              <w:rPr>
                <w:b/>
                <w:bCs/>
                <w:sz w:val="32"/>
                <w:szCs w:val="32"/>
                <w:lang w:val="en-US"/>
              </w:rPr>
            </w:pPr>
          </w:p>
        </w:tc>
        <w:tc>
          <w:tcPr>
            <w:tcW w:w="10461" w:type="dxa"/>
          </w:tcPr>
          <w:p w14:paraId="4426633C" w14:textId="77777777" w:rsidR="00675B3A" w:rsidRPr="00884499" w:rsidRDefault="00675B3A">
            <w:pPr>
              <w:rPr>
                <w:b/>
                <w:bCs/>
                <w:sz w:val="32"/>
                <w:szCs w:val="32"/>
                <w:lang w:val="en-US"/>
              </w:rPr>
            </w:pPr>
            <w:r w:rsidRPr="00884499">
              <w:rPr>
                <w:b/>
                <w:bCs/>
                <w:sz w:val="32"/>
                <w:szCs w:val="32"/>
                <w:lang w:val="en-US"/>
              </w:rPr>
              <w:lastRenderedPageBreak/>
              <w:t xml:space="preserve">Development level: </w:t>
            </w:r>
          </w:p>
          <w:p w14:paraId="4C5C68F9" w14:textId="77CC922A" w:rsidR="00675B3A" w:rsidRPr="00884499" w:rsidRDefault="0080458D" w:rsidP="00675B3A">
            <w:pPr>
              <w:rPr>
                <w:b/>
                <w:bCs/>
                <w:sz w:val="32"/>
                <w:szCs w:val="32"/>
                <w:lang w:val="en-US"/>
              </w:rPr>
            </w:pPr>
            <w:r w:rsidRPr="00884499">
              <w:rPr>
                <w:rFonts w:ascii="Segoe UI Symbol" w:hAnsi="Segoe UI Symbol" w:cs="Segoe UI Symbol"/>
                <w:b/>
                <w:bCs/>
                <w:sz w:val="32"/>
                <w:szCs w:val="32"/>
                <w:lang w:val="en-US"/>
              </w:rPr>
              <w:t>☐</w:t>
            </w:r>
            <w:r w:rsidRPr="00884499">
              <w:rPr>
                <w:b/>
                <w:bCs/>
                <w:sz w:val="32"/>
                <w:szCs w:val="32"/>
                <w:lang w:val="en-US"/>
              </w:rPr>
              <w:t xml:space="preserve">  </w:t>
            </w:r>
            <w:r w:rsidR="00675B3A" w:rsidRPr="00884499">
              <w:rPr>
                <w:b/>
                <w:bCs/>
                <w:sz w:val="32"/>
                <w:szCs w:val="32"/>
                <w:lang w:val="en-US"/>
              </w:rPr>
              <w:t>Early concept / prototype (not yet usable by others)</w:t>
            </w:r>
          </w:p>
          <w:p w14:paraId="1033F299" w14:textId="7F262053" w:rsidR="00675B3A" w:rsidRPr="00884499" w:rsidRDefault="00A0542A" w:rsidP="00675B3A">
            <w:pPr>
              <w:rPr>
                <w:b/>
                <w:bCs/>
                <w:sz w:val="32"/>
                <w:szCs w:val="32"/>
                <w:lang w:val="en-US"/>
              </w:rPr>
            </w:pPr>
            <w:r>
              <w:rPr>
                <w:rFonts w:ascii="Segoe UI Symbol" w:hAnsi="Segoe UI Symbol" w:cs="Segoe UI Symbol"/>
                <w:b/>
                <w:bCs/>
                <w:sz w:val="32"/>
                <w:szCs w:val="32"/>
                <w:lang w:val="en-US"/>
              </w:rPr>
              <w:sym w:font="Wingdings" w:char="F0FE"/>
            </w:r>
            <w:r w:rsidR="0080458D" w:rsidRPr="00884499">
              <w:rPr>
                <w:b/>
                <w:bCs/>
                <w:sz w:val="32"/>
                <w:szCs w:val="32"/>
                <w:lang w:val="en-US"/>
              </w:rPr>
              <w:t xml:space="preserve">  </w:t>
            </w:r>
            <w:r w:rsidR="00675B3A" w:rsidRPr="00884499">
              <w:rPr>
                <w:b/>
                <w:bCs/>
                <w:sz w:val="32"/>
                <w:szCs w:val="32"/>
                <w:lang w:val="en-US"/>
              </w:rPr>
              <w:t>Beta (usable with guidance, bugs expected)</w:t>
            </w:r>
          </w:p>
          <w:p w14:paraId="0E5197E6" w14:textId="000B873C" w:rsidR="00675B3A" w:rsidRPr="00884499" w:rsidRDefault="0080458D" w:rsidP="00675B3A">
            <w:pPr>
              <w:rPr>
                <w:b/>
                <w:bCs/>
                <w:sz w:val="32"/>
                <w:szCs w:val="32"/>
                <w:lang w:val="en-US"/>
              </w:rPr>
            </w:pPr>
            <w:r w:rsidRPr="00884499">
              <w:rPr>
                <w:rFonts w:ascii="Segoe UI Symbol" w:hAnsi="Segoe UI Symbol" w:cs="Segoe UI Symbol"/>
                <w:b/>
                <w:bCs/>
                <w:sz w:val="32"/>
                <w:szCs w:val="32"/>
                <w:lang w:val="en-US"/>
              </w:rPr>
              <w:t>☐</w:t>
            </w:r>
            <w:r w:rsidRPr="00884499">
              <w:rPr>
                <w:b/>
                <w:bCs/>
                <w:sz w:val="32"/>
                <w:szCs w:val="32"/>
                <w:lang w:val="en-US"/>
              </w:rPr>
              <w:t xml:space="preserve">  </w:t>
            </w:r>
            <w:r w:rsidR="00675B3A" w:rsidRPr="00884499">
              <w:rPr>
                <w:b/>
                <w:bCs/>
                <w:sz w:val="32"/>
                <w:szCs w:val="32"/>
                <w:lang w:val="en-US"/>
              </w:rPr>
              <w:t>Stable release (documented, versioned, community-ready)</w:t>
            </w:r>
          </w:p>
          <w:p w14:paraId="20A420FE" w14:textId="77777777" w:rsidR="00675B3A" w:rsidRPr="00884499" w:rsidRDefault="00675B3A" w:rsidP="00675B3A">
            <w:pPr>
              <w:rPr>
                <w:b/>
                <w:bCs/>
                <w:sz w:val="32"/>
                <w:szCs w:val="32"/>
                <w:lang w:val="en-US"/>
              </w:rPr>
            </w:pPr>
          </w:p>
          <w:p w14:paraId="61AC97BC" w14:textId="3E19C987" w:rsidR="00675B3A" w:rsidRDefault="00675B3A" w:rsidP="00675B3A">
            <w:pPr>
              <w:rPr>
                <w:i/>
                <w:iCs/>
                <w:sz w:val="32"/>
                <w:szCs w:val="32"/>
                <w:lang w:val="en-US"/>
              </w:rPr>
            </w:pPr>
            <w:r w:rsidRPr="00884499">
              <w:rPr>
                <w:b/>
                <w:bCs/>
                <w:sz w:val="32"/>
                <w:szCs w:val="32"/>
                <w:lang w:val="en-US"/>
              </w:rPr>
              <w:t xml:space="preserve">Where you can help me: </w:t>
            </w:r>
          </w:p>
          <w:p w14:paraId="7E690837" w14:textId="7CBFB5BD" w:rsidR="006F1D57" w:rsidRPr="006F1D57" w:rsidRDefault="006F1D57" w:rsidP="00675B3A">
            <w:pPr>
              <w:rPr>
                <w:sz w:val="32"/>
                <w:szCs w:val="32"/>
                <w:lang w:val="en-US"/>
              </w:rPr>
            </w:pPr>
            <w:r w:rsidRPr="006F1D57">
              <w:rPr>
                <w:sz w:val="32"/>
                <w:szCs w:val="32"/>
                <w:lang w:val="en-US"/>
              </w:rPr>
              <w:t>It would be interesting to know which other European</w:t>
            </w:r>
            <w:r>
              <w:rPr>
                <w:sz w:val="32"/>
                <w:szCs w:val="32"/>
                <w:lang w:val="en-US"/>
              </w:rPr>
              <w:t>/Global</w:t>
            </w:r>
            <w:r w:rsidRPr="006F1D57">
              <w:rPr>
                <w:sz w:val="32"/>
                <w:szCs w:val="32"/>
                <w:lang w:val="en-US"/>
              </w:rPr>
              <w:t xml:space="preserve"> databases we could include in the tool to improve its scope and usability.</w:t>
            </w:r>
            <w:r>
              <w:rPr>
                <w:sz w:val="32"/>
                <w:szCs w:val="32"/>
                <w:lang w:val="en-US"/>
              </w:rPr>
              <w:t xml:space="preserve"> For example, any database compiling farm machinery related data; commercial pesticide databases, etc.</w:t>
            </w:r>
          </w:p>
        </w:tc>
      </w:tr>
      <w:tr w:rsidR="00CF7AC7" w:rsidRPr="006F1D57" w14:paraId="4E11E541" w14:textId="77777777" w:rsidTr="00181FDA">
        <w:tc>
          <w:tcPr>
            <w:tcW w:w="20921" w:type="dxa"/>
            <w:gridSpan w:val="2"/>
          </w:tcPr>
          <w:p w14:paraId="0BFB9864" w14:textId="27F01D6E" w:rsidR="00CF7AC7" w:rsidRPr="00884499" w:rsidRDefault="00CF7AC7" w:rsidP="00A0542A">
            <w:pPr>
              <w:jc w:val="both"/>
              <w:rPr>
                <w:b/>
                <w:bCs/>
                <w:sz w:val="32"/>
                <w:szCs w:val="32"/>
                <w:lang w:val="en-US"/>
              </w:rPr>
            </w:pPr>
            <w:r w:rsidRPr="00884499">
              <w:rPr>
                <w:b/>
                <w:bCs/>
                <w:sz w:val="32"/>
                <w:szCs w:val="32"/>
                <w:lang w:val="en-US"/>
              </w:rPr>
              <w:t xml:space="preserve">Technical / practical details: </w:t>
            </w:r>
            <w:r w:rsidR="00A0542A" w:rsidRPr="00A0542A">
              <w:rPr>
                <w:sz w:val="32"/>
                <w:szCs w:val="32"/>
                <w:lang w:val="en-US"/>
              </w:rPr>
              <w:t>ISAT is a free, web-based application built in Java that registered users can access online without installing any software. To use it, you build a scenario by entering every field operation carried out over a cropping season — tillage, sowing, spraying, fertilizing, harvesting, and so on; for pesticide applications specifically, you also enter the application rate, spray equipment, the proportion of the field treated, and the exact product or active ingredient used. From this input, ISAT calculates three main outputs. The first is pesticide risk, using a newly developed harmonized European indicator called PL</w:t>
            </w:r>
            <w:r w:rsidR="00A0542A" w:rsidRPr="00A0542A">
              <w:rPr>
                <w:sz w:val="32"/>
                <w:szCs w:val="32"/>
                <w:vertAlign w:val="subscript"/>
                <w:lang w:val="en-US"/>
              </w:rPr>
              <w:t>EU</w:t>
            </w:r>
            <w:r w:rsidR="00A0542A" w:rsidRPr="00A0542A">
              <w:rPr>
                <w:sz w:val="32"/>
                <w:szCs w:val="32"/>
                <w:lang w:val="en-US"/>
              </w:rPr>
              <w:t>, which covers hazard metrics across three sub-indicators (Environmental Fate, Ecotoxicity, and Human Health</w:t>
            </w:r>
            <w:r w:rsidR="00A0542A">
              <w:rPr>
                <w:sz w:val="32"/>
                <w:szCs w:val="32"/>
                <w:lang w:val="en-US"/>
              </w:rPr>
              <w:t>)</w:t>
            </w:r>
            <w:r w:rsidR="00A0542A" w:rsidRPr="00A0542A">
              <w:rPr>
                <w:sz w:val="32"/>
                <w:szCs w:val="32"/>
                <w:lang w:val="en-US"/>
              </w:rPr>
              <w:t>; The second output is greenhouse gas emissions, calculated with the MiLA life-cycle model using fuel-consumption data from the German Field Work Calculator</w:t>
            </w:r>
            <w:r w:rsidR="00A0542A">
              <w:rPr>
                <w:sz w:val="32"/>
                <w:szCs w:val="32"/>
                <w:lang w:val="en-US"/>
              </w:rPr>
              <w:t xml:space="preserve"> (KTBL)</w:t>
            </w:r>
            <w:r w:rsidR="00A0542A" w:rsidRPr="00A0542A">
              <w:rPr>
                <w:sz w:val="32"/>
                <w:szCs w:val="32"/>
                <w:lang w:val="en-US"/>
              </w:rPr>
              <w:t xml:space="preserve"> and emission factors from Ecoinvent v3.11, covering diesel combustion as well as upstream emissions from machinery, seed production, and pesticide manufacturing. The third is cost, also based on the German Field Work Calculator's database of over 5,000 predefined field operations, combining machinery, labour, fuel, and input costs into a total per hectare. What makes ISAT distinctive is that it lets you build several scenarios for the same field and crop and compare them side by side in tables and charts, so you can see the trade-offs directly. </w:t>
            </w:r>
          </w:p>
        </w:tc>
      </w:tr>
      <w:tr w:rsidR="00CF7AC7" w:rsidRPr="006F1D57" w14:paraId="152E861D" w14:textId="77777777" w:rsidTr="00675B3A">
        <w:tc>
          <w:tcPr>
            <w:tcW w:w="10460" w:type="dxa"/>
          </w:tcPr>
          <w:p w14:paraId="65141E34" w14:textId="4A283B66" w:rsidR="00CF7AC7" w:rsidRDefault="00CF7AC7" w:rsidP="00CF7AC7">
            <w:pPr>
              <w:rPr>
                <w:i/>
                <w:iCs/>
                <w:sz w:val="32"/>
                <w:szCs w:val="32"/>
                <w:lang w:val="en-US"/>
              </w:rPr>
            </w:pPr>
            <w:r w:rsidRPr="006F1D57">
              <w:rPr>
                <w:b/>
                <w:bCs/>
                <w:sz w:val="32"/>
                <w:szCs w:val="32"/>
                <w:lang w:val="en-US"/>
              </w:rPr>
              <w:t xml:space="preserve">License + access status: </w:t>
            </w:r>
          </w:p>
          <w:p w14:paraId="6099D554" w14:textId="7C9A652C" w:rsidR="006F1D57" w:rsidRPr="00884499" w:rsidRDefault="006F1D57" w:rsidP="00CF7AC7">
            <w:pPr>
              <w:rPr>
                <w:b/>
                <w:bCs/>
                <w:sz w:val="32"/>
                <w:szCs w:val="32"/>
                <w:lang w:val="en-US"/>
              </w:rPr>
            </w:pPr>
            <w:r w:rsidRPr="006F1D57">
              <w:rPr>
                <w:sz w:val="32"/>
                <w:szCs w:val="32"/>
                <w:lang w:val="en-US"/>
              </w:rPr>
              <w:t>Open source</w:t>
            </w:r>
          </w:p>
        </w:tc>
        <w:tc>
          <w:tcPr>
            <w:tcW w:w="10461" w:type="dxa"/>
          </w:tcPr>
          <w:p w14:paraId="2DE60AF2" w14:textId="07EF9948" w:rsidR="00CF7AC7" w:rsidRDefault="00CF7AC7" w:rsidP="00CF7AC7">
            <w:pPr>
              <w:rPr>
                <w:i/>
                <w:iCs/>
                <w:sz w:val="32"/>
                <w:szCs w:val="32"/>
                <w:lang w:val="en-US"/>
              </w:rPr>
            </w:pPr>
            <w:r w:rsidRPr="00884499">
              <w:rPr>
                <w:b/>
                <w:bCs/>
                <w:sz w:val="32"/>
                <w:szCs w:val="32"/>
                <w:lang w:val="en-US"/>
              </w:rPr>
              <w:t xml:space="preserve">Link and QR code </w:t>
            </w:r>
            <w:r w:rsidRPr="00884499">
              <w:rPr>
                <w:i/>
                <w:iCs/>
                <w:sz w:val="32"/>
                <w:szCs w:val="32"/>
                <w:lang w:val="en-US"/>
              </w:rPr>
              <w:t>(to repo, tool, notebook)</w:t>
            </w:r>
          </w:p>
          <w:p w14:paraId="46136824" w14:textId="5B466BAC" w:rsidR="00B0271E" w:rsidRDefault="006F1D57" w:rsidP="00CF7AC7">
            <w:pPr>
              <w:rPr>
                <w:i/>
                <w:iCs/>
                <w:sz w:val="32"/>
                <w:szCs w:val="32"/>
                <w:lang w:val="en-US"/>
              </w:rPr>
            </w:pPr>
            <w:hyperlink r:id="rId6" w:history="1">
              <w:r w:rsidRPr="00615516">
                <w:rPr>
                  <w:rStyle w:val="Hyperlink"/>
                  <w:i/>
                  <w:iCs/>
                  <w:sz w:val="32"/>
                  <w:szCs w:val="32"/>
                  <w:lang w:val="en-US"/>
                </w:rPr>
                <w:t>https://synops.julius-kuehn.de/isat</w:t>
              </w:r>
            </w:hyperlink>
          </w:p>
          <w:p w14:paraId="6AF9BB5F" w14:textId="78D1641B" w:rsidR="00B0271E" w:rsidRDefault="00B0271E" w:rsidP="00CF7AC7">
            <w:pPr>
              <w:rPr>
                <w:i/>
                <w:iCs/>
                <w:sz w:val="32"/>
                <w:szCs w:val="32"/>
                <w:lang w:val="en-US"/>
              </w:rPr>
            </w:pPr>
            <w:r>
              <w:rPr>
                <w:noProof/>
              </w:rPr>
              <w:drawing>
                <wp:inline distT="0" distB="0" distL="0" distR="0" wp14:anchorId="13FA4590" wp14:editId="7FB5886A">
                  <wp:extent cx="1733798" cy="173379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38997" cy="1738997"/>
                          </a:xfrm>
                          <a:prstGeom prst="rect">
                            <a:avLst/>
                          </a:prstGeom>
                        </pic:spPr>
                      </pic:pic>
                    </a:graphicData>
                  </a:graphic>
                </wp:inline>
              </w:drawing>
            </w:r>
          </w:p>
          <w:p w14:paraId="3816BE56" w14:textId="0CCFDF99" w:rsidR="00CF7AC7" w:rsidRPr="00884499" w:rsidRDefault="00CF7AC7" w:rsidP="00CF7AC7">
            <w:pPr>
              <w:rPr>
                <w:b/>
                <w:bCs/>
                <w:sz w:val="32"/>
                <w:szCs w:val="32"/>
                <w:lang w:val="en-US"/>
              </w:rPr>
            </w:pPr>
            <w:r w:rsidRPr="00884499">
              <w:rPr>
                <w:b/>
                <w:bCs/>
                <w:sz w:val="32"/>
                <w:szCs w:val="32"/>
                <w:lang w:val="en-US"/>
              </w:rPr>
              <w:t>How to reach me</w:t>
            </w:r>
            <w:r w:rsidR="00E02F06">
              <w:rPr>
                <w:b/>
                <w:bCs/>
                <w:sz w:val="32"/>
                <w:szCs w:val="32"/>
                <w:lang w:val="en-US"/>
              </w:rPr>
              <w:t>/us</w:t>
            </w:r>
            <w:r w:rsidRPr="00884499">
              <w:rPr>
                <w:b/>
                <w:bCs/>
                <w:sz w:val="32"/>
                <w:szCs w:val="32"/>
                <w:lang w:val="en-US"/>
              </w:rPr>
              <w:t xml:space="preserve">: </w:t>
            </w:r>
            <w:r w:rsidR="00B0271E">
              <w:rPr>
                <w:b/>
                <w:bCs/>
                <w:sz w:val="32"/>
                <w:szCs w:val="32"/>
                <w:lang w:val="en-US"/>
              </w:rPr>
              <w:t>vera.krause</w:t>
            </w:r>
            <w:r w:rsidRPr="00884499">
              <w:rPr>
                <w:b/>
                <w:bCs/>
                <w:sz w:val="32"/>
                <w:szCs w:val="32"/>
                <w:lang w:val="en-US"/>
              </w:rPr>
              <w:t>@</w:t>
            </w:r>
            <w:r w:rsidR="00B0271E">
              <w:rPr>
                <w:b/>
                <w:bCs/>
                <w:sz w:val="32"/>
                <w:szCs w:val="32"/>
                <w:lang w:val="en-US"/>
              </w:rPr>
              <w:t>julius-kuehn.de</w:t>
            </w:r>
          </w:p>
          <w:p w14:paraId="041CE0C8" w14:textId="77777777" w:rsidR="00B0271E" w:rsidRPr="00B0271E" w:rsidRDefault="00B0271E" w:rsidP="00B0271E">
            <w:pPr>
              <w:rPr>
                <w:b/>
                <w:bCs/>
                <w:sz w:val="32"/>
                <w:szCs w:val="32"/>
                <w:lang w:val="en-US"/>
              </w:rPr>
            </w:pPr>
            <w:r w:rsidRPr="00B0271E">
              <w:rPr>
                <w:b/>
                <w:bCs/>
                <w:sz w:val="32"/>
                <w:szCs w:val="32"/>
                <w:lang w:val="en-US"/>
              </w:rPr>
              <w:t>Julius Kühn-Institut (JKI), Federal Research Centre for Cultivated Plants</w:t>
            </w:r>
          </w:p>
          <w:p w14:paraId="0899F3E6" w14:textId="1B1B3DA0" w:rsidR="00CF7AC7" w:rsidRPr="00884499" w:rsidRDefault="00CF7AC7" w:rsidP="00B0271E">
            <w:pPr>
              <w:rPr>
                <w:b/>
                <w:bCs/>
                <w:sz w:val="32"/>
                <w:szCs w:val="32"/>
                <w:lang w:val="en-US"/>
              </w:rPr>
            </w:pPr>
          </w:p>
        </w:tc>
      </w:tr>
    </w:tbl>
    <w:p w14:paraId="37A55C98" w14:textId="7F256635" w:rsidR="00675B3A" w:rsidRPr="00675B3A" w:rsidRDefault="00675B3A">
      <w:pPr>
        <w:rPr>
          <w:lang w:val="en-US"/>
        </w:rPr>
      </w:pPr>
    </w:p>
    <w:sectPr w:rsidR="00675B3A" w:rsidRPr="00675B3A" w:rsidSect="00E37E33">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794"/>
    <w:rsid w:val="000B1E5F"/>
    <w:rsid w:val="002011D6"/>
    <w:rsid w:val="002C10F6"/>
    <w:rsid w:val="003807D7"/>
    <w:rsid w:val="004C54C7"/>
    <w:rsid w:val="0050600D"/>
    <w:rsid w:val="00660661"/>
    <w:rsid w:val="00675B3A"/>
    <w:rsid w:val="006F1D57"/>
    <w:rsid w:val="006F300F"/>
    <w:rsid w:val="00772BD9"/>
    <w:rsid w:val="0080458D"/>
    <w:rsid w:val="00883B87"/>
    <w:rsid w:val="00884499"/>
    <w:rsid w:val="00901E9F"/>
    <w:rsid w:val="00A0542A"/>
    <w:rsid w:val="00A30D31"/>
    <w:rsid w:val="00AD65A5"/>
    <w:rsid w:val="00B0271E"/>
    <w:rsid w:val="00BB4E45"/>
    <w:rsid w:val="00CF7AC7"/>
    <w:rsid w:val="00D47794"/>
    <w:rsid w:val="00D50549"/>
    <w:rsid w:val="00E0236A"/>
    <w:rsid w:val="00E02F06"/>
    <w:rsid w:val="00E37E33"/>
    <w:rsid w:val="00E94A52"/>
    <w:rsid w:val="00EE3E7C"/>
    <w:rsid w:val="00F1172D"/>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6F724"/>
  <w15:chartTrackingRefBased/>
  <w15:docId w15:val="{689E27B8-7376-4A1D-BC27-86BC70DE9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4779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D4779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D47794"/>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D47794"/>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D47794"/>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D4779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4779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4779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4779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47794"/>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D47794"/>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D47794"/>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D47794"/>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D47794"/>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D4779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4779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4779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47794"/>
    <w:rPr>
      <w:rFonts w:eastAsiaTheme="majorEastAsia" w:cstheme="majorBidi"/>
      <w:color w:val="272727" w:themeColor="text1" w:themeTint="D8"/>
    </w:rPr>
  </w:style>
  <w:style w:type="paragraph" w:styleId="Titel">
    <w:name w:val="Title"/>
    <w:basedOn w:val="Standard"/>
    <w:next w:val="Standard"/>
    <w:link w:val="TitelZchn"/>
    <w:uiPriority w:val="10"/>
    <w:qFormat/>
    <w:rsid w:val="00D47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477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4779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4779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4779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47794"/>
    <w:rPr>
      <w:i/>
      <w:iCs/>
      <w:color w:val="404040" w:themeColor="text1" w:themeTint="BF"/>
    </w:rPr>
  </w:style>
  <w:style w:type="paragraph" w:styleId="Listenabsatz">
    <w:name w:val="List Paragraph"/>
    <w:basedOn w:val="Standard"/>
    <w:uiPriority w:val="34"/>
    <w:qFormat/>
    <w:rsid w:val="00D47794"/>
    <w:pPr>
      <w:ind w:left="720"/>
      <w:contextualSpacing/>
    </w:pPr>
  </w:style>
  <w:style w:type="character" w:styleId="IntensiveHervorhebung">
    <w:name w:val="Intense Emphasis"/>
    <w:basedOn w:val="Absatz-Standardschriftart"/>
    <w:uiPriority w:val="21"/>
    <w:qFormat/>
    <w:rsid w:val="00D47794"/>
    <w:rPr>
      <w:i/>
      <w:iCs/>
      <w:color w:val="365F91" w:themeColor="accent1" w:themeShade="BF"/>
    </w:rPr>
  </w:style>
  <w:style w:type="paragraph" w:styleId="IntensivesZitat">
    <w:name w:val="Intense Quote"/>
    <w:basedOn w:val="Standard"/>
    <w:next w:val="Standard"/>
    <w:link w:val="IntensivesZitatZchn"/>
    <w:uiPriority w:val="30"/>
    <w:qFormat/>
    <w:rsid w:val="00D4779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D47794"/>
    <w:rPr>
      <w:i/>
      <w:iCs/>
      <w:color w:val="365F91" w:themeColor="accent1" w:themeShade="BF"/>
    </w:rPr>
  </w:style>
  <w:style w:type="character" w:styleId="IntensiverVerweis">
    <w:name w:val="Intense Reference"/>
    <w:basedOn w:val="Absatz-Standardschriftart"/>
    <w:uiPriority w:val="32"/>
    <w:qFormat/>
    <w:rsid w:val="00D47794"/>
    <w:rPr>
      <w:b/>
      <w:bCs/>
      <w:smallCaps/>
      <w:color w:val="365F91" w:themeColor="accent1" w:themeShade="BF"/>
      <w:spacing w:val="5"/>
    </w:rPr>
  </w:style>
  <w:style w:type="table" w:styleId="Tabellenraster">
    <w:name w:val="Table Grid"/>
    <w:basedOn w:val="NormaleTabelle"/>
    <w:uiPriority w:val="59"/>
    <w:rsid w:val="00675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C54C7"/>
    <w:rPr>
      <w:color w:val="0000FF" w:themeColor="hyperlink"/>
      <w:u w:val="single"/>
    </w:rPr>
  </w:style>
  <w:style w:type="character" w:styleId="NichtaufgelsteErwhnung">
    <w:name w:val="Unresolved Mention"/>
    <w:basedOn w:val="Absatz-Standardschriftart"/>
    <w:uiPriority w:val="99"/>
    <w:semiHidden/>
    <w:unhideWhenUsed/>
    <w:rsid w:val="004C54C7"/>
    <w:rPr>
      <w:color w:val="605E5C"/>
      <w:shd w:val="clear" w:color="auto" w:fill="E1DFDD"/>
    </w:rPr>
  </w:style>
  <w:style w:type="table" w:styleId="TabellemithellemGitternetz">
    <w:name w:val="Grid Table Light"/>
    <w:basedOn w:val="NormaleTabelle"/>
    <w:uiPriority w:val="40"/>
    <w:rsid w:val="00884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208816">
      <w:bodyDiv w:val="1"/>
      <w:marLeft w:val="0"/>
      <w:marRight w:val="0"/>
      <w:marTop w:val="0"/>
      <w:marBottom w:val="0"/>
      <w:divBdr>
        <w:top w:val="none" w:sz="0" w:space="0" w:color="auto"/>
        <w:left w:val="none" w:sz="0" w:space="0" w:color="auto"/>
        <w:bottom w:val="none" w:sz="0" w:space="0" w:color="auto"/>
        <w:right w:val="none" w:sz="0" w:space="0" w:color="auto"/>
      </w:divBdr>
    </w:div>
    <w:div w:id="59856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ynops.julius-kuehn.de/isa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DF57A-7C4B-4E68-8104-670DAC311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3276</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Treyer, Karin</dc:creator>
  <cp:keywords/>
  <dc:description/>
  <cp:lastModifiedBy>Krause, Vera</cp:lastModifiedBy>
  <cp:revision>7</cp:revision>
  <dcterms:created xsi:type="dcterms:W3CDTF">2026-09-01T09:06:00Z</dcterms:created>
  <dcterms:modified xsi:type="dcterms:W3CDTF">2026-09-17T09:32:00Z</dcterms:modified>
</cp:coreProperties>
</file>